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B75545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z1204"/>
      <w:proofErr w:type="spellStart"/>
      <w:r w:rsidRPr="006D7788">
        <w:rPr>
          <w:rFonts w:ascii="Times New Roman" w:hAnsi="Times New Roman" w:cs="Times New Roman"/>
          <w:sz w:val="28"/>
        </w:rPr>
        <w:t>декреттік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788">
        <w:rPr>
          <w:rFonts w:ascii="Times New Roman" w:hAnsi="Times New Roman" w:cs="Times New Roman"/>
          <w:sz w:val="28"/>
        </w:rPr>
        <w:t>демалыс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кезеңіне тәрбиешінің уақытша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D7788">
        <w:rPr>
          <w:rFonts w:ascii="Times New Roman" w:hAnsi="Times New Roman" w:cs="Times New Roman"/>
          <w:sz w:val="28"/>
        </w:rPr>
        <w:t>орналасу</w:t>
      </w:r>
      <w:proofErr w:type="gramEnd"/>
      <w:r w:rsidRPr="006D7788">
        <w:rPr>
          <w:rFonts w:ascii="Times New Roman" w:hAnsi="Times New Roman" w:cs="Times New Roman"/>
          <w:sz w:val="28"/>
        </w:rPr>
        <w:t>ға</w:t>
      </w:r>
      <w:r w:rsidRPr="006D7788">
        <w:rPr>
          <w:rFonts w:ascii="Times New Roman" w:hAnsi="Times New Roman" w:cs="Times New Roman"/>
          <w:b/>
          <w:sz w:val="28"/>
        </w:rPr>
        <w:t xml:space="preserve"> КОНКУРС ЖАРИЯЛАЙДЫ</w:t>
      </w:r>
    </w:p>
    <w:p w:rsidR="008537C2" w:rsidRDefault="008537C2" w:rsidP="008537C2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4B33A1">
        <w:rPr>
          <w:rFonts w:ascii="Times New Roman" w:hAnsi="Times New Roman" w:cs="Times New Roman"/>
          <w:sz w:val="28"/>
        </w:rPr>
        <w:t>200000-260000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4B33A1">
        <w:rPr>
          <w:rFonts w:ascii="Times New Roman" w:hAnsi="Times New Roman" w:cs="Times New Roman"/>
          <w:sz w:val="28"/>
        </w:rPr>
        <w:t>те</w:t>
      </w:r>
      <w:r w:rsidR="004B33A1">
        <w:rPr>
          <w:rFonts w:ascii="Times New Roman" w:hAnsi="Times New Roman" w:cs="Times New Roman"/>
          <w:sz w:val="28"/>
          <w:lang w:val="kk-KZ"/>
        </w:rPr>
        <w:t>ң</w:t>
      </w:r>
      <w:r w:rsidR="004B33A1">
        <w:rPr>
          <w:rFonts w:ascii="Times New Roman" w:hAnsi="Times New Roman" w:cs="Times New Roman"/>
          <w:sz w:val="28"/>
        </w:rPr>
        <w:t>г</w:t>
      </w:r>
      <w:r w:rsidR="004B33A1">
        <w:rPr>
          <w:rFonts w:ascii="Times New Roman" w:hAnsi="Times New Roman" w:cs="Times New Roman"/>
          <w:sz w:val="28"/>
          <w:lang w:val="kk-KZ"/>
        </w:rPr>
        <w:t>е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84509F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10-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Pr="005C7A7E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803BCF" w:rsidRPr="005C7A7E" w:rsidRDefault="00803BCF" w:rsidP="005C7A7E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5C7A7E">
        <w:rPr>
          <w:rFonts w:ascii="Times New Roman" w:hAnsi="Times New Roman" w:cs="Times New Roman"/>
          <w:color w:val="000000"/>
          <w:sz w:val="28"/>
          <w:lang w:val="kk-KZ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A3034E" w:rsidRPr="003F76ED" w:rsidRDefault="00A3034E" w:rsidP="003F76E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A5A29"/>
    <w:rsid w:val="001042B2"/>
    <w:rsid w:val="001464F0"/>
    <w:rsid w:val="00166CF7"/>
    <w:rsid w:val="001E47BE"/>
    <w:rsid w:val="0024162B"/>
    <w:rsid w:val="002B6475"/>
    <w:rsid w:val="00306B30"/>
    <w:rsid w:val="00321B3A"/>
    <w:rsid w:val="0033664D"/>
    <w:rsid w:val="00352252"/>
    <w:rsid w:val="003C06E0"/>
    <w:rsid w:val="003F76ED"/>
    <w:rsid w:val="004B33A1"/>
    <w:rsid w:val="00511284"/>
    <w:rsid w:val="005C7A7E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509F"/>
    <w:rsid w:val="008537C2"/>
    <w:rsid w:val="00904092"/>
    <w:rsid w:val="00A02AEB"/>
    <w:rsid w:val="00A3034E"/>
    <w:rsid w:val="00A40CD7"/>
    <w:rsid w:val="00A67DCE"/>
    <w:rsid w:val="00B01327"/>
    <w:rsid w:val="00B75545"/>
    <w:rsid w:val="00DE1A2D"/>
    <w:rsid w:val="00E12C29"/>
    <w:rsid w:val="00E15685"/>
    <w:rsid w:val="00EE21FF"/>
    <w:rsid w:val="00F04BA7"/>
    <w:rsid w:val="00F07A40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6A82-33C2-4E6A-A97F-B412860B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2022-07-19T06:29:00Z</cp:lastPrinted>
  <dcterms:created xsi:type="dcterms:W3CDTF">2022-07-19T05:43:00Z</dcterms:created>
  <dcterms:modified xsi:type="dcterms:W3CDTF">2023-10-24T10:43:00Z</dcterms:modified>
</cp:coreProperties>
</file>